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Email #2 through partners, to customers</w:t>
      </w:r>
    </w:p>
    <w:p w:rsidR="00000000" w:rsidDel="00000000" w:rsidP="00000000" w:rsidRDefault="00000000" w:rsidRPr="00000000" w14:paraId="00000002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Subject</w:t>
      </w:r>
      <w:r w:rsidDel="00000000" w:rsidR="00000000" w:rsidRPr="00000000">
        <w:rPr>
          <w:rtl w:val="0"/>
        </w:rPr>
        <w:t xml:space="preserve">: Expand into cloud and attack surface management with a trusted solution.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Copy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Need to go beyond assessing more than just your traditional IT infrastructure? 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With Nessus Expert, you can secure your cloud environments and gain visibility into your external attack surface . Take advantage of the industry’s most trusted VA solution, now built for the modern attack surface!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Here’s what you can achieve with Nessus Expert: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Expand into cloud and attack surface management with a trusted solution.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Provide a more comprehensive and thorough assessment for a differentiated service offering.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Simplify analysis and reporting with a single product to assess the modern attack surface.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Combine traditional IT, Infrastructure as Code (IaC)  and external attack surface assessment  all within one tool.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Download the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data sheet</w:t>
        </w:r>
      </w:hyperlink>
      <w:r w:rsidDel="00000000" w:rsidR="00000000" w:rsidRPr="00000000">
        <w:rPr>
          <w:rtl w:val="0"/>
        </w:rPr>
        <w:t xml:space="preserve"> to learn more.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tenable.com/data-sheets/nessus-exper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